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B51AB13"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8275F5">
        <w:rPr>
          <w:rFonts w:cs="Arial"/>
          <w:bCs/>
          <w:noProof w:val="0"/>
          <w:sz w:val="24"/>
          <w:szCs w:val="24"/>
        </w:rPr>
        <w:t>4797</w:t>
      </w:r>
    </w:p>
    <w:bookmarkEnd w:id="0"/>
    <w:p w14:paraId="5669B020" w14:textId="3A468387"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F36DA6" w:rsidRPr="000665EA">
        <w:rPr>
          <w:rFonts w:eastAsia="MS Mincho" w:cs="Arial"/>
          <w:sz w:val="24"/>
          <w:szCs w:val="24"/>
        </w:rPr>
        <w:t xml:space="preserve"> </w:t>
      </w:r>
      <w:r w:rsidR="00477911">
        <w:rPr>
          <w:rFonts w:eastAsia="MS Mincho" w:cs="Arial"/>
          <w:sz w:val="24"/>
          <w:szCs w:val="24"/>
        </w:rPr>
        <w:t xml:space="preserve">– </w:t>
      </w:r>
      <w:r w:rsidR="00762711">
        <w:rPr>
          <w:rFonts w:eastAsia="MS Mincho" w:cs="Arial"/>
          <w:sz w:val="24"/>
          <w:szCs w:val="24"/>
        </w:rPr>
        <w:t>1</w:t>
      </w:r>
      <w:r w:rsidR="009E24D9">
        <w:rPr>
          <w:rFonts w:eastAsia="MS Mincho" w:cs="Arial"/>
          <w:sz w:val="24"/>
          <w:szCs w:val="24"/>
        </w:rPr>
        <w:t>1</w:t>
      </w:r>
      <w:r w:rsidR="00477911">
        <w:rPr>
          <w:rFonts w:eastAsia="MS Mincho" w:cs="Arial"/>
          <w:sz w:val="24"/>
          <w:szCs w:val="24"/>
        </w:rPr>
        <w:t xml:space="preserve"> </w:t>
      </w:r>
      <w:r w:rsidR="00762711">
        <w:rPr>
          <w:rFonts w:eastAsia="MS Mincho" w:cs="Arial"/>
          <w:sz w:val="24"/>
          <w:szCs w:val="24"/>
        </w:rPr>
        <w:t>November</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2974BBE0"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E74B27">
        <w:rPr>
          <w:rFonts w:cs="Arial"/>
          <w:b/>
          <w:bCs/>
          <w:sz w:val="24"/>
        </w:rPr>
        <w:t>8.1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6FDFEF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74B27">
        <w:rPr>
          <w:rFonts w:ascii="Arial" w:hAnsi="Arial" w:cs="Arial"/>
          <w:b/>
          <w:bCs/>
          <w:sz w:val="24"/>
        </w:rPr>
        <w:t>Continuation of the work on CHO with SCG configuration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0059979C" w:rsidR="005E3D0F" w:rsidRDefault="00E74B27" w:rsidP="008572DC">
      <w:bookmarkStart w:id="1" w:name="_Toc474247438"/>
      <w:r>
        <w:t>At RAN3 #112, and LS was received from RAN2 concerning feasibility of CHO with keeping DC operation [1]. RAN3 agreed at that meeting that following enhancements are needed to make such operation feasible:</w:t>
      </w:r>
    </w:p>
    <w:p w14:paraId="3C5325C7" w14:textId="13ED66F2" w:rsidR="00E74B27" w:rsidRDefault="00E74B27" w:rsidP="00E74B27">
      <w:pPr>
        <w:pStyle w:val="ListParagraph"/>
        <w:numPr>
          <w:ilvl w:val="0"/>
          <w:numId w:val="40"/>
        </w:numPr>
      </w:pPr>
      <w:r>
        <w:t xml:space="preserve">an indicator of CHO, </w:t>
      </w:r>
    </w:p>
    <w:p w14:paraId="5CDD1484" w14:textId="44485EBE" w:rsidR="00E74B27" w:rsidRDefault="00E74B27" w:rsidP="00E74B27">
      <w:pPr>
        <w:pStyle w:val="ListParagraph"/>
        <w:numPr>
          <w:ilvl w:val="0"/>
          <w:numId w:val="40"/>
        </w:numPr>
      </w:pPr>
      <w:r>
        <w:t xml:space="preserve">signalling for the early data forwarding to the target SN, </w:t>
      </w:r>
    </w:p>
    <w:p w14:paraId="0819DA79" w14:textId="3048A014" w:rsidR="00E74B27" w:rsidRDefault="00E74B27" w:rsidP="00E74B27">
      <w:pPr>
        <w:pStyle w:val="ListParagraph"/>
        <w:numPr>
          <w:ilvl w:val="0"/>
          <w:numId w:val="40"/>
        </w:numPr>
      </w:pPr>
      <w:r>
        <w:t>enhancements to avoid over-booking of resources at the SN.</w:t>
      </w:r>
    </w:p>
    <w:p w14:paraId="093DE3F3" w14:textId="77777777" w:rsidR="00723730" w:rsidRDefault="00E74B27" w:rsidP="00E74B27">
      <w:r>
        <w:t xml:space="preserve">However, RAN3 was not sure how to proceed with this topic: shall the Rel.16 be enhanced, or the original assumption that no enhancements are needed be converted to the conclusion that such operation is not feasible in Rel.16. RAN3 asked RAN2 for further guidance in [2]. Now, RAN3 receives this guidance [3]: </w:t>
      </w:r>
      <w:r w:rsidR="00723730">
        <w:t xml:space="preserve">RAN2 asks to introduce the needed functionality as part of Rel.17 enhancement. </w:t>
      </w:r>
    </w:p>
    <w:p w14:paraId="13E572B3" w14:textId="7CE6F86E" w:rsidR="00723730" w:rsidRPr="000665EA" w:rsidRDefault="00723730" w:rsidP="00E74B27">
      <w:r>
        <w:t>In this paper, we analyse the current situation and propose the way forward.</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36B619AA" w:rsidR="008559D6" w:rsidRDefault="00723730" w:rsidP="00723730">
      <w:pPr>
        <w:pStyle w:val="Heading2"/>
      </w:pPr>
      <w:r>
        <w:t>2.1</w:t>
      </w:r>
      <w:r>
        <w:tab/>
        <w:t>Plan for the work</w:t>
      </w:r>
    </w:p>
    <w:p w14:paraId="03035D83" w14:textId="5C06C0F0" w:rsidR="00723730" w:rsidRDefault="00723730" w:rsidP="008559D6">
      <w:r>
        <w:t>The first question that RAN3 shall address is how to handle the needed work, so that it is part of Rel.17, as requested from RAN2. We see two options:</w:t>
      </w:r>
    </w:p>
    <w:p w14:paraId="0A248D82" w14:textId="2B8E479D" w:rsidR="00723730" w:rsidRDefault="00723730" w:rsidP="00723730">
      <w:pPr>
        <w:pStyle w:val="ListParagraph"/>
        <w:numPr>
          <w:ilvl w:val="0"/>
          <w:numId w:val="41"/>
        </w:numPr>
      </w:pPr>
      <w:r>
        <w:t xml:space="preserve">Either the work is assumed to be TEI17, which has just recently been </w:t>
      </w:r>
      <w:proofErr w:type="gramStart"/>
      <w:r>
        <w:t>opened;</w:t>
      </w:r>
      <w:proofErr w:type="gramEnd"/>
    </w:p>
    <w:p w14:paraId="1B587507" w14:textId="20AB64A3" w:rsidR="00723730" w:rsidRDefault="00723730" w:rsidP="00723730">
      <w:pPr>
        <w:pStyle w:val="ListParagraph"/>
        <w:numPr>
          <w:ilvl w:val="0"/>
          <w:numId w:val="41"/>
        </w:numPr>
      </w:pPr>
      <w:r>
        <w:t xml:space="preserve">Or the scope of one of Rel.17 WI is broadened so that this work is included. The best possible candidate may be the CPAC part of the </w:t>
      </w:r>
      <w:r w:rsidR="00604B9F" w:rsidRPr="00604B9F">
        <w:t>Further Multi-RAT Dual Connectivity Enhancements WI</w:t>
      </w:r>
      <w:r w:rsidR="00604B9F">
        <w:t>.</w:t>
      </w:r>
    </w:p>
    <w:p w14:paraId="6A40754A" w14:textId="1B2F9627" w:rsidR="00604B9F" w:rsidRDefault="00604B9F" w:rsidP="00604B9F">
      <w:r>
        <w:t>The first option enables focusing on this problem only. There may be little time offered for the problem, but the conclusions from the initial discussion allow for some optimism that the solution can be defied relatively quickly.</w:t>
      </w:r>
    </w:p>
    <w:p w14:paraId="125CE2BF" w14:textId="0BA00C0C" w:rsidR="00604B9F" w:rsidRDefault="00604B9F" w:rsidP="00604B9F">
      <w:r>
        <w:t>The option with broadening of the CPAC part of the MR-DC WI will help then to coordinate the development of the CPAC signalling with the signalling needed for CHO with DC (some possible overlap was identified already at RAN3 #112). However, amendment of the WI scope may require at least a notification to the RAN plenary.</w:t>
      </w:r>
    </w:p>
    <w:p w14:paraId="15FACC7A" w14:textId="7880A485" w:rsidR="00604B9F" w:rsidRPr="00604B9F" w:rsidRDefault="00604B9F" w:rsidP="00604B9F">
      <w:pPr>
        <w:rPr>
          <w:b/>
          <w:bCs/>
        </w:rPr>
      </w:pPr>
      <w:r w:rsidRPr="00604B9F">
        <w:rPr>
          <w:b/>
          <w:bCs/>
        </w:rPr>
        <w:t xml:space="preserve">Proposal 1-1: RAN3 to work on the solution </w:t>
      </w:r>
      <w:r>
        <w:rPr>
          <w:b/>
          <w:bCs/>
        </w:rPr>
        <w:t xml:space="preserve">for CHO with DC </w:t>
      </w:r>
      <w:r w:rsidRPr="00604B9F">
        <w:rPr>
          <w:b/>
          <w:bCs/>
        </w:rPr>
        <w:t>as a TEI</w:t>
      </w:r>
      <w:r>
        <w:rPr>
          <w:b/>
          <w:bCs/>
        </w:rPr>
        <w:t>-</w:t>
      </w:r>
      <w:r w:rsidRPr="00604B9F">
        <w:rPr>
          <w:b/>
          <w:bCs/>
        </w:rPr>
        <w:t>17 topic, with a dedicated sub-agenda.</w:t>
      </w:r>
    </w:p>
    <w:p w14:paraId="1656DF02" w14:textId="3FE3D86B" w:rsidR="00604B9F" w:rsidRDefault="009A0088" w:rsidP="009A0088">
      <w:pPr>
        <w:pStyle w:val="Heading2"/>
      </w:pPr>
      <w:r>
        <w:t>2.2</w:t>
      </w:r>
      <w:r>
        <w:tab/>
        <w:t xml:space="preserve">The </w:t>
      </w:r>
      <w:r w:rsidR="008B09E0">
        <w:t>scope of the work</w:t>
      </w:r>
    </w:p>
    <w:p w14:paraId="180661BD" w14:textId="217481FF" w:rsidR="009A0088" w:rsidRDefault="00BD6225" w:rsidP="00604B9F">
      <w:r>
        <w:t>The list of problems to be addressed in this work was initially agreed at RAN3 #112 meeting:</w:t>
      </w:r>
    </w:p>
    <w:p w14:paraId="2F89AA4F" w14:textId="77777777" w:rsidR="00BD6225" w:rsidRDefault="00BD6225" w:rsidP="00BD6225">
      <w:pPr>
        <w:pStyle w:val="ListParagraph"/>
        <w:numPr>
          <w:ilvl w:val="0"/>
          <w:numId w:val="40"/>
        </w:numPr>
      </w:pPr>
      <w:r>
        <w:t xml:space="preserve">an indicator of CHO, </w:t>
      </w:r>
    </w:p>
    <w:p w14:paraId="4F577490" w14:textId="77777777" w:rsidR="00BD6225" w:rsidRDefault="00BD6225" w:rsidP="00BD6225">
      <w:pPr>
        <w:pStyle w:val="ListParagraph"/>
        <w:numPr>
          <w:ilvl w:val="0"/>
          <w:numId w:val="40"/>
        </w:numPr>
      </w:pPr>
      <w:proofErr w:type="spellStart"/>
      <w:r>
        <w:t>signalling</w:t>
      </w:r>
      <w:proofErr w:type="spellEnd"/>
      <w:r>
        <w:t xml:space="preserve"> for the early data forwarding to the target SN, </w:t>
      </w:r>
    </w:p>
    <w:p w14:paraId="691F8650" w14:textId="77777777" w:rsidR="00BD6225" w:rsidRDefault="00BD6225" w:rsidP="00BD6225">
      <w:pPr>
        <w:pStyle w:val="ListParagraph"/>
        <w:numPr>
          <w:ilvl w:val="0"/>
          <w:numId w:val="40"/>
        </w:numPr>
      </w:pPr>
      <w:r>
        <w:t>enhancements to avoid over-booking of resources at the SN.</w:t>
      </w:r>
    </w:p>
    <w:p w14:paraId="0DABD9B3" w14:textId="76091F38" w:rsidR="00BD6225" w:rsidRDefault="00BD6225" w:rsidP="00604B9F">
      <w:pPr>
        <w:rPr>
          <w:lang w:val="en-US"/>
        </w:rPr>
      </w:pPr>
      <w:r>
        <w:rPr>
          <w:lang w:val="en-US"/>
        </w:rPr>
        <w:lastRenderedPageBreak/>
        <w:t>Since that meeting nothing has changed. Also, in their most recent LS, RAN2 does not indicate any change in the scope of the problem. Therefore, it may be assumed the conclusions of the discussion in RAN3 are still relevant.</w:t>
      </w:r>
    </w:p>
    <w:p w14:paraId="56FF9989" w14:textId="35835EE3" w:rsidR="00BD6225" w:rsidRPr="0069360D" w:rsidRDefault="00BD6225" w:rsidP="00604B9F">
      <w:pPr>
        <w:rPr>
          <w:b/>
          <w:bCs/>
          <w:lang w:val="en-US"/>
        </w:rPr>
      </w:pPr>
      <w:r w:rsidRPr="0069360D">
        <w:rPr>
          <w:b/>
          <w:bCs/>
          <w:lang w:val="en-US"/>
        </w:rPr>
        <w:t xml:space="preserve">Proposal 2-1: RAN3 shall confirm the scope of the solution as agreed at RAN3 #112 (i.e. an indicator of CHO, </w:t>
      </w:r>
      <w:r w:rsidRPr="0069360D">
        <w:rPr>
          <w:b/>
          <w:bCs/>
        </w:rPr>
        <w:t>signalling for the early data forwarding to the target SN, enhancements to avoid over-booking of resources at the SN).</w:t>
      </w:r>
    </w:p>
    <w:p w14:paraId="082E499F" w14:textId="7690DDBA" w:rsidR="008B09E0" w:rsidRDefault="008B09E0" w:rsidP="008B09E0">
      <w:pPr>
        <w:pStyle w:val="Heading2"/>
      </w:pPr>
      <w:r>
        <w:t>2.3</w:t>
      </w:r>
      <w:r>
        <w:tab/>
        <w:t>The solution</w:t>
      </w:r>
    </w:p>
    <w:p w14:paraId="578DE087" w14:textId="42745DC4" w:rsidR="00BD6225" w:rsidRDefault="0069360D" w:rsidP="00604B9F">
      <w:r>
        <w:t>Of the three points</w:t>
      </w:r>
      <w:r w:rsidR="00420EB9">
        <w:t xml:space="preserve"> identified</w:t>
      </w:r>
      <w:r>
        <w:t>, two require stage-3 modification: adding the indicator of CHO and the solution to avoid resource overbooking. These two problem</w:t>
      </w:r>
      <w:r w:rsidR="008B09E0">
        <w:t>s</w:t>
      </w:r>
      <w:r>
        <w:t xml:space="preserve"> have originally been addressed in [4], we take the liberty to remind it here</w:t>
      </w:r>
      <w:r w:rsidR="008B09E0">
        <w:t>.</w:t>
      </w:r>
    </w:p>
    <w:p w14:paraId="17188F99" w14:textId="4110BC81" w:rsidR="008B09E0" w:rsidRDefault="008B09E0" w:rsidP="008B09E0">
      <w:r>
        <w:t>The indication will be very easy to enable: a simple flag is needed to inform the SN that the Addition is related to a conditional (delayed) preparation. But before we propose the flag to be used, we would like to compare the situation related to the CHO with MR-DC and the CPA, which is being developed in another WI in Rel.17. The most critical feature, i.e. late arrival of the UE, if ever, is the same in both cases. Therefore, the basic flag considered for CHO-related Addition may be defined so that it can be reused for CPA.</w:t>
      </w:r>
    </w:p>
    <w:p w14:paraId="2449B0C2" w14:textId="08B50494" w:rsidR="008B09E0" w:rsidRPr="00273C00" w:rsidRDefault="008B09E0" w:rsidP="008B09E0">
      <w:pPr>
        <w:rPr>
          <w:b/>
          <w:bCs/>
        </w:rPr>
      </w:pPr>
      <w:r w:rsidRPr="00273C00">
        <w:rPr>
          <w:b/>
          <w:bCs/>
        </w:rPr>
        <w:t xml:space="preserve">Proposal </w:t>
      </w:r>
      <w:r>
        <w:rPr>
          <w:b/>
          <w:bCs/>
        </w:rPr>
        <w:t>3-1</w:t>
      </w:r>
      <w:r w:rsidRPr="00273C00">
        <w:rPr>
          <w:b/>
          <w:bCs/>
        </w:rPr>
        <w:t>: A flag is added in the Addition Request to indicate the addition is related to a conditional access. The flag shall be defined so that it can be reused for CPA in Rel.17.</w:t>
      </w:r>
    </w:p>
    <w:p w14:paraId="5C05795F" w14:textId="47E34597" w:rsidR="005D588C" w:rsidRDefault="005D588C" w:rsidP="008B09E0">
      <w:r>
        <w:t>In addition, the F1AP aspect is needed to be addressed. However, at this moment, creation of a UE context in the DU seems the same in case of conditional addition, irrespectively if it comes from CHO or CPA.</w:t>
      </w:r>
    </w:p>
    <w:p w14:paraId="74F195BB" w14:textId="47B7B4EF" w:rsidR="005D588C" w:rsidRPr="005D588C" w:rsidRDefault="005D588C" w:rsidP="008B09E0">
      <w:pPr>
        <w:rPr>
          <w:b/>
          <w:bCs/>
        </w:rPr>
      </w:pPr>
      <w:r w:rsidRPr="005D588C">
        <w:rPr>
          <w:b/>
          <w:bCs/>
        </w:rPr>
        <w:t>Proposal 3-2: RAN3 shall consider if there are any differences between conditional context creation in the DU between CHO- and CPA-related addition.</w:t>
      </w:r>
    </w:p>
    <w:p w14:paraId="3A0EC397" w14:textId="6A085082" w:rsidR="008B09E0" w:rsidRDefault="008B09E0" w:rsidP="008B09E0">
      <w:r>
        <w:t xml:space="preserve">The solution </w:t>
      </w:r>
      <w:r w:rsidR="00420EB9">
        <w:t xml:space="preserve">to avoid overbooking </w:t>
      </w:r>
      <w:r>
        <w:t>is less straightforward. At a basic level, it can be helped with the arrival probability, as defined for CHO. The target MN could simply rely the information received from the source MN – since the SCG access is executed when the main CHO condition is met, the probability of SCG access is the same as for the CHO.</w:t>
      </w:r>
    </w:p>
    <w:p w14:paraId="63724BC6" w14:textId="72864687" w:rsidR="008B09E0" w:rsidRPr="00273C00" w:rsidRDefault="008B09E0" w:rsidP="008B09E0">
      <w:pPr>
        <w:rPr>
          <w:b/>
          <w:bCs/>
        </w:rPr>
      </w:pPr>
      <w:r w:rsidRPr="00273C00">
        <w:rPr>
          <w:b/>
          <w:bCs/>
        </w:rPr>
        <w:t xml:space="preserve">Proposal </w:t>
      </w:r>
      <w:r>
        <w:rPr>
          <w:b/>
          <w:bCs/>
        </w:rPr>
        <w:t>3-</w:t>
      </w:r>
      <w:r w:rsidR="005D588C">
        <w:rPr>
          <w:b/>
          <w:bCs/>
        </w:rPr>
        <w:t>3</w:t>
      </w:r>
      <w:r w:rsidRPr="00273C00">
        <w:rPr>
          <w:b/>
          <w:bCs/>
        </w:rPr>
        <w:t xml:space="preserve">: </w:t>
      </w:r>
      <w:r>
        <w:rPr>
          <w:b/>
          <w:bCs/>
        </w:rPr>
        <w:t>The arrival probability is defined also for the Addition Request and the target MN is obliged to rely the information received from the source MN.</w:t>
      </w:r>
    </w:p>
    <w:p w14:paraId="32D1D58E" w14:textId="1536BAC0" w:rsidR="008B09E0" w:rsidRDefault="008B09E0" w:rsidP="008B09E0">
      <w:r>
        <w:t xml:space="preserve">However, </w:t>
      </w:r>
      <w:r w:rsidR="00420EB9">
        <w:t xml:space="preserve">it does not help to avoid overbooking for the same UE. </w:t>
      </w:r>
      <w:proofErr w:type="gramStart"/>
      <w:r w:rsidR="00420EB9">
        <w:t>I</w:t>
      </w:r>
      <w:r>
        <w:t>n order to</w:t>
      </w:r>
      <w:proofErr w:type="gramEnd"/>
      <w:r>
        <w:t xml:space="preserve"> enable identification of the requests as coming from the same UE, some form of the identification of the UE is needed. For addition requests coming from a single target MN, that MN may assign the identification (e.g. a random number). However, in case the addition requests to the same target SN come from different target MNs, the situation gets complicated: the only common point where the identification could be defined is either the UE itself, or the source MN, or possibly the source SN (if configured). One may therefore consider:</w:t>
      </w:r>
    </w:p>
    <w:p w14:paraId="36FA6E45" w14:textId="77777777" w:rsidR="008B09E0" w:rsidRDefault="008B09E0" w:rsidP="008B09E0">
      <w:pPr>
        <w:pStyle w:val="ListParagraph"/>
        <w:numPr>
          <w:ilvl w:val="0"/>
          <w:numId w:val="42"/>
        </w:numPr>
      </w:pPr>
      <w:r>
        <w:t>Adding a random number allocated at the source MN; or</w:t>
      </w:r>
    </w:p>
    <w:p w14:paraId="4065240F" w14:textId="77777777" w:rsidR="008B09E0" w:rsidRDefault="008B09E0" w:rsidP="008B09E0">
      <w:pPr>
        <w:pStyle w:val="ListParagraph"/>
        <w:numPr>
          <w:ilvl w:val="0"/>
          <w:numId w:val="42"/>
        </w:numPr>
      </w:pPr>
      <w:r>
        <w:t>Adding a combination of the source MN’s ID and the UE ID used in the source MN; or</w:t>
      </w:r>
    </w:p>
    <w:p w14:paraId="032528DF" w14:textId="03356CA0" w:rsidR="008B09E0" w:rsidRDefault="008B09E0" w:rsidP="008B09E0">
      <w:pPr>
        <w:pStyle w:val="ListParagraph"/>
        <w:numPr>
          <w:ilvl w:val="0"/>
          <w:numId w:val="42"/>
        </w:numPr>
      </w:pPr>
      <w:r>
        <w:t>Reusing the source SN’s UE ID and adding the source SN’s ID.</w:t>
      </w:r>
    </w:p>
    <w:p w14:paraId="3394E45B" w14:textId="4CA80BCB" w:rsidR="00420EB9" w:rsidRDefault="00420EB9" w:rsidP="00420EB9">
      <w:r>
        <w:t>Of these three possibilities, the 2</w:t>
      </w:r>
      <w:r w:rsidRPr="00420EB9">
        <w:rPr>
          <w:vertAlign w:val="superscript"/>
        </w:rPr>
        <w:t>nd</w:t>
      </w:r>
      <w:r>
        <w:t xml:space="preserve"> one seems the most universal: it helps identify the UE also if it was not configured with DC in the source MN. </w:t>
      </w:r>
    </w:p>
    <w:p w14:paraId="21DFDFE4" w14:textId="2A003EEA" w:rsidR="008B09E0" w:rsidRDefault="008B09E0" w:rsidP="00604B9F">
      <w:r w:rsidRPr="00273C00">
        <w:rPr>
          <w:b/>
          <w:bCs/>
        </w:rPr>
        <w:t xml:space="preserve">Proposal </w:t>
      </w:r>
      <w:r>
        <w:rPr>
          <w:b/>
          <w:bCs/>
        </w:rPr>
        <w:t>3-</w:t>
      </w:r>
      <w:r w:rsidR="005D588C">
        <w:rPr>
          <w:b/>
          <w:bCs/>
        </w:rPr>
        <w:t>4</w:t>
      </w:r>
      <w:r w:rsidRPr="00273C00">
        <w:rPr>
          <w:b/>
          <w:bCs/>
        </w:rPr>
        <w:t xml:space="preserve">: RAN3 shall </w:t>
      </w:r>
      <w:r w:rsidR="00420EB9">
        <w:rPr>
          <w:b/>
          <w:bCs/>
        </w:rPr>
        <w:t xml:space="preserve">consider if using the source MN’s ID and the UE ID in the source MN can help </w:t>
      </w:r>
      <w:r w:rsidR="00810BB8">
        <w:rPr>
          <w:b/>
          <w:bCs/>
        </w:rPr>
        <w:t>to identify the same UE and avoid booking resources for it again.</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40922B73" w:rsidR="002F4257" w:rsidRDefault="002F4257" w:rsidP="00D20DF3">
      <w:pPr>
        <w:jc w:val="both"/>
        <w:rPr>
          <w:bCs/>
        </w:rPr>
      </w:pPr>
      <w:r>
        <w:rPr>
          <w:bCs/>
        </w:rPr>
        <w:t xml:space="preserve">In this paper, </w:t>
      </w:r>
      <w:r w:rsidR="00A745DF">
        <w:rPr>
          <w:bCs/>
        </w:rPr>
        <w:t>we address the issue of CHO with DC, as requested in the LS from RAN2 [3]. Regarding the way the work can be handled in RAN3 and its scope we make following two propo</w:t>
      </w:r>
      <w:r w:rsidR="00ED314C">
        <w:rPr>
          <w:bCs/>
        </w:rPr>
        <w:t>s</w:t>
      </w:r>
      <w:r w:rsidR="00A745DF">
        <w:rPr>
          <w:bCs/>
        </w:rPr>
        <w:t>als:</w:t>
      </w:r>
    </w:p>
    <w:p w14:paraId="4DE47E41" w14:textId="77777777" w:rsidR="00A745DF" w:rsidRPr="00ED314C" w:rsidRDefault="00A745DF" w:rsidP="00ED314C">
      <w:pPr>
        <w:ind w:left="284"/>
      </w:pPr>
      <w:r w:rsidRPr="00ED314C">
        <w:t>Proposal 1-1: RAN3 to work on the solution for CHO with DC as a TEI-17 topic, with a dedicated sub-agenda.</w:t>
      </w:r>
    </w:p>
    <w:p w14:paraId="51CC65EB" w14:textId="77777777" w:rsidR="00A745DF" w:rsidRPr="00ED314C" w:rsidRDefault="00A745DF" w:rsidP="00ED314C">
      <w:pPr>
        <w:ind w:left="284"/>
        <w:rPr>
          <w:lang w:val="en-US"/>
        </w:rPr>
      </w:pPr>
      <w:r w:rsidRPr="00ED314C">
        <w:rPr>
          <w:lang w:val="en-US"/>
        </w:rPr>
        <w:t xml:space="preserve">Proposal 2-1: RAN3 shall confirm the scope of the solution as agreed at RAN3 #112 (i.e. an indicator of CHO, </w:t>
      </w:r>
      <w:r w:rsidRPr="00ED314C">
        <w:t>signalling for the early data forwarding to the target SN, enhancements to avoid over-booking of resources at the SN).</w:t>
      </w:r>
    </w:p>
    <w:p w14:paraId="0E195525" w14:textId="27FFE33E" w:rsidR="00A745DF" w:rsidRPr="00A745DF" w:rsidRDefault="00A745DF" w:rsidP="00D20DF3">
      <w:pPr>
        <w:jc w:val="both"/>
        <w:rPr>
          <w:bCs/>
          <w:lang w:val="en-US"/>
        </w:rPr>
      </w:pPr>
      <w:r>
        <w:rPr>
          <w:bCs/>
          <w:lang w:val="en-US"/>
        </w:rPr>
        <w:lastRenderedPageBreak/>
        <w:t>Then, we also discuss the solution that can address the problem. In this respect, we propose as follows:</w:t>
      </w:r>
    </w:p>
    <w:p w14:paraId="42CA30DF" w14:textId="77777777" w:rsidR="00A745DF" w:rsidRPr="00ED314C" w:rsidRDefault="00A745DF" w:rsidP="00ED314C">
      <w:pPr>
        <w:ind w:left="284"/>
      </w:pPr>
      <w:r w:rsidRPr="00ED314C">
        <w:t>Proposal 3-1: A flag is added in the Addition Request to indicate the addition is related to a conditional access. The flag shall be defined so that it can be reused for CPA in Rel.17.</w:t>
      </w:r>
    </w:p>
    <w:p w14:paraId="7B4B0CDE" w14:textId="77777777" w:rsidR="005D588C" w:rsidRDefault="005D588C" w:rsidP="00ED314C">
      <w:pPr>
        <w:ind w:left="284"/>
      </w:pPr>
      <w:r w:rsidRPr="005D588C">
        <w:t>Proposal 3-2: RAN3 shall consider if there are any differences between conditional context creation in the DU between CHO- and CPA-related addition.</w:t>
      </w:r>
    </w:p>
    <w:p w14:paraId="61C1A63D" w14:textId="66EF0977" w:rsidR="00A745DF" w:rsidRPr="00ED314C" w:rsidRDefault="00A745DF" w:rsidP="00ED314C">
      <w:pPr>
        <w:ind w:left="284"/>
      </w:pPr>
      <w:r w:rsidRPr="00ED314C">
        <w:t>Proposal 3-</w:t>
      </w:r>
      <w:r w:rsidR="005D588C">
        <w:t>3</w:t>
      </w:r>
      <w:r w:rsidRPr="00ED314C">
        <w:t>: The arrival probability is defined also for the Addition Request and the target MN is obliged to rely the information received from the source MN.</w:t>
      </w:r>
    </w:p>
    <w:p w14:paraId="5D135A16" w14:textId="6B2AB489" w:rsidR="00A745DF" w:rsidRPr="00ED314C" w:rsidRDefault="00A745DF" w:rsidP="00ED314C">
      <w:pPr>
        <w:ind w:left="284"/>
      </w:pPr>
      <w:r w:rsidRPr="00ED314C">
        <w:t>Proposal 3-</w:t>
      </w:r>
      <w:r w:rsidR="005D588C">
        <w:t>4</w:t>
      </w:r>
      <w:r w:rsidRPr="00ED314C">
        <w:t>: RAN3 shall consider if using the source MN’s ID and the UE ID in the source MN can help to identify the same UE and avoid booking resources for it again.</w:t>
      </w:r>
    </w:p>
    <w:p w14:paraId="21A337AF" w14:textId="7E5346CD" w:rsidR="002F4257" w:rsidRPr="000665EA" w:rsidRDefault="002F4257" w:rsidP="006A43F7">
      <w:pPr>
        <w:jc w:val="both"/>
        <w:rPr>
          <w:bCs/>
        </w:rPr>
      </w:pPr>
      <w:r>
        <w:rPr>
          <w:bCs/>
        </w:rPr>
        <w:t>The TPs implementing the solution are proposed in [</w:t>
      </w:r>
      <w:r w:rsidR="007707B3">
        <w:rPr>
          <w:bCs/>
        </w:rPr>
        <w:t>5</w:t>
      </w:r>
      <w:r>
        <w:rPr>
          <w:bCs/>
        </w:rPr>
        <w:t>] and [</w:t>
      </w:r>
      <w:r w:rsidR="007707B3">
        <w:rPr>
          <w:bCs/>
        </w:rPr>
        <w:t>6</w:t>
      </w:r>
      <w:r>
        <w:rPr>
          <w:bCs/>
        </w:rPr>
        <w:t>].</w:t>
      </w:r>
      <w:r w:rsidR="007707B3">
        <w:rPr>
          <w:bCs/>
        </w:rPr>
        <w:t xml:space="preserve"> Draft response is proposed in [7].</w:t>
      </w:r>
    </w:p>
    <w:p w14:paraId="483F8717" w14:textId="77777777" w:rsidR="00403B9B" w:rsidRPr="000665EA" w:rsidRDefault="00403B9B" w:rsidP="00403B9B">
      <w:pPr>
        <w:pStyle w:val="Heading1"/>
      </w:pPr>
      <w:r w:rsidRPr="000665EA">
        <w:t>References</w:t>
      </w:r>
    </w:p>
    <w:p w14:paraId="65C3740D" w14:textId="5AA04B1F" w:rsidR="002F4257" w:rsidRDefault="00E74B27" w:rsidP="008A3464">
      <w:pPr>
        <w:numPr>
          <w:ilvl w:val="0"/>
          <w:numId w:val="4"/>
        </w:numPr>
        <w:overflowPunct w:val="0"/>
        <w:autoSpaceDE w:val="0"/>
        <w:autoSpaceDN w:val="0"/>
        <w:adjustRightInd w:val="0"/>
        <w:textAlignment w:val="baseline"/>
      </w:pPr>
      <w:r>
        <w:t>R2-2104348, RAN2 #113-bis</w:t>
      </w:r>
    </w:p>
    <w:p w14:paraId="526ED866" w14:textId="13024BBC" w:rsidR="00E74B27" w:rsidRDefault="00E74B27" w:rsidP="008A3464">
      <w:pPr>
        <w:numPr>
          <w:ilvl w:val="0"/>
          <w:numId w:val="4"/>
        </w:numPr>
        <w:overflowPunct w:val="0"/>
        <w:autoSpaceDE w:val="0"/>
        <w:autoSpaceDN w:val="0"/>
        <w:adjustRightInd w:val="0"/>
        <w:textAlignment w:val="baseline"/>
      </w:pPr>
      <w:r>
        <w:t>R3-212848, RAN3 #112e</w:t>
      </w:r>
    </w:p>
    <w:p w14:paraId="5A202105" w14:textId="2B99AFC9" w:rsidR="00E74B27" w:rsidRDefault="00723730" w:rsidP="008A3464">
      <w:pPr>
        <w:numPr>
          <w:ilvl w:val="0"/>
          <w:numId w:val="4"/>
        </w:numPr>
        <w:overflowPunct w:val="0"/>
        <w:autoSpaceDE w:val="0"/>
        <w:autoSpaceDN w:val="0"/>
        <w:adjustRightInd w:val="0"/>
        <w:textAlignment w:val="baseline"/>
      </w:pPr>
      <w:r w:rsidRPr="00723730">
        <w:t>R2-2109172</w:t>
      </w:r>
      <w:r>
        <w:t>, RAN2 #115e</w:t>
      </w:r>
    </w:p>
    <w:p w14:paraId="41F96B91" w14:textId="5BD013B7" w:rsidR="0069360D" w:rsidRDefault="0069360D" w:rsidP="008A3464">
      <w:pPr>
        <w:numPr>
          <w:ilvl w:val="0"/>
          <w:numId w:val="4"/>
        </w:numPr>
        <w:overflowPunct w:val="0"/>
        <w:autoSpaceDE w:val="0"/>
        <w:autoSpaceDN w:val="0"/>
        <w:adjustRightInd w:val="0"/>
        <w:textAlignment w:val="baseline"/>
      </w:pPr>
      <w:r>
        <w:t>R3-211517, RAN3 #112e</w:t>
      </w:r>
    </w:p>
    <w:p w14:paraId="58914D63" w14:textId="6E92418C" w:rsidR="007707B3" w:rsidRPr="000665EA" w:rsidRDefault="007707B3" w:rsidP="008A3464">
      <w:pPr>
        <w:numPr>
          <w:ilvl w:val="0"/>
          <w:numId w:val="4"/>
        </w:numPr>
        <w:overflowPunct w:val="0"/>
        <w:autoSpaceDE w:val="0"/>
        <w:autoSpaceDN w:val="0"/>
        <w:adjustRightInd w:val="0"/>
        <w:textAlignment w:val="baseline"/>
      </w:pPr>
      <w:r>
        <w:t>R3-21</w:t>
      </w:r>
      <w:r w:rsidR="008275F5">
        <w:t>4798</w:t>
      </w:r>
      <w:r>
        <w:t>, RAN3 #114e</w:t>
      </w:r>
    </w:p>
    <w:p w14:paraId="43DCEFBF" w14:textId="2A6BED01" w:rsidR="007707B3" w:rsidRPr="000665EA" w:rsidRDefault="007707B3" w:rsidP="007707B3">
      <w:pPr>
        <w:numPr>
          <w:ilvl w:val="0"/>
          <w:numId w:val="4"/>
        </w:numPr>
        <w:overflowPunct w:val="0"/>
        <w:autoSpaceDE w:val="0"/>
        <w:autoSpaceDN w:val="0"/>
        <w:adjustRightInd w:val="0"/>
        <w:textAlignment w:val="baseline"/>
      </w:pPr>
      <w:r>
        <w:t>R3-21</w:t>
      </w:r>
      <w:r w:rsidR="008275F5">
        <w:t>4799</w:t>
      </w:r>
      <w:r>
        <w:t>, RAN3 #114e</w:t>
      </w:r>
    </w:p>
    <w:p w14:paraId="0679D930" w14:textId="556B7E5B" w:rsidR="007707B3" w:rsidRPr="000665EA" w:rsidRDefault="007707B3" w:rsidP="007707B3">
      <w:pPr>
        <w:numPr>
          <w:ilvl w:val="0"/>
          <w:numId w:val="4"/>
        </w:numPr>
        <w:overflowPunct w:val="0"/>
        <w:autoSpaceDE w:val="0"/>
        <w:autoSpaceDN w:val="0"/>
        <w:adjustRightInd w:val="0"/>
        <w:textAlignment w:val="baseline"/>
      </w:pPr>
      <w:r>
        <w:t>R3-21</w:t>
      </w:r>
      <w:r w:rsidR="008275F5">
        <w:t>4800</w:t>
      </w:r>
      <w:r>
        <w:t>, RAN3 #114e</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13191" w14:textId="77777777" w:rsidR="00DF52E4" w:rsidRDefault="00DF52E4">
      <w:r>
        <w:separator/>
      </w:r>
    </w:p>
  </w:endnote>
  <w:endnote w:type="continuationSeparator" w:id="0">
    <w:p w14:paraId="43343937" w14:textId="77777777" w:rsidR="00DF52E4" w:rsidRDefault="00DF52E4">
      <w:r>
        <w:continuationSeparator/>
      </w:r>
    </w:p>
  </w:endnote>
  <w:endnote w:type="continuationNotice" w:id="1">
    <w:p w14:paraId="6A7B1B4C" w14:textId="77777777" w:rsidR="00DF52E4" w:rsidRDefault="00DF5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AADFC" w14:textId="77777777" w:rsidR="00DF52E4" w:rsidRDefault="00DF52E4">
      <w:r>
        <w:separator/>
      </w:r>
    </w:p>
  </w:footnote>
  <w:footnote w:type="continuationSeparator" w:id="0">
    <w:p w14:paraId="5FAAD77B" w14:textId="77777777" w:rsidR="00DF52E4" w:rsidRDefault="00DF52E4">
      <w:r>
        <w:continuationSeparator/>
      </w:r>
    </w:p>
  </w:footnote>
  <w:footnote w:type="continuationNotice" w:id="1">
    <w:p w14:paraId="45B7A78D" w14:textId="77777777" w:rsidR="00DF52E4" w:rsidRDefault="00DF5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BD76BE"/>
    <w:multiLevelType w:val="hybridMultilevel"/>
    <w:tmpl w:val="6CAEC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5E1275"/>
    <w:multiLevelType w:val="hybridMultilevel"/>
    <w:tmpl w:val="02B428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E1A22A4"/>
    <w:multiLevelType w:val="hybridMultilevel"/>
    <w:tmpl w:val="69F67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32"/>
  </w:num>
  <w:num w:numId="3">
    <w:abstractNumId w:val="17"/>
  </w:num>
  <w:num w:numId="4">
    <w:abstractNumId w:val="9"/>
  </w:num>
  <w:num w:numId="5">
    <w:abstractNumId w:val="10"/>
  </w:num>
  <w:num w:numId="6">
    <w:abstractNumId w:val="40"/>
  </w:num>
  <w:num w:numId="7">
    <w:abstractNumId w:val="27"/>
  </w:num>
  <w:num w:numId="8">
    <w:abstractNumId w:val="18"/>
  </w:num>
  <w:num w:numId="9">
    <w:abstractNumId w:val="39"/>
  </w:num>
  <w:num w:numId="10">
    <w:abstractNumId w:val="26"/>
  </w:num>
  <w:num w:numId="11">
    <w:abstractNumId w:val="16"/>
  </w:num>
  <w:num w:numId="12">
    <w:abstractNumId w:val="34"/>
  </w:num>
  <w:num w:numId="13">
    <w:abstractNumId w:val="35"/>
  </w:num>
  <w:num w:numId="14">
    <w:abstractNumId w:val="3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1"/>
  </w:num>
  <w:num w:numId="25">
    <w:abstractNumId w:val="29"/>
  </w:num>
  <w:num w:numId="26">
    <w:abstractNumId w:val="19"/>
  </w:num>
  <w:num w:numId="27">
    <w:abstractNumId w:val="23"/>
  </w:num>
  <w:num w:numId="28">
    <w:abstractNumId w:val="37"/>
  </w:num>
  <w:num w:numId="29">
    <w:abstractNumId w:val="38"/>
  </w:num>
  <w:num w:numId="30">
    <w:abstractNumId w:val="28"/>
  </w:num>
  <w:num w:numId="31">
    <w:abstractNumId w:val="25"/>
  </w:num>
  <w:num w:numId="32">
    <w:abstractNumId w:val="20"/>
  </w:num>
  <w:num w:numId="33">
    <w:abstractNumId w:val="30"/>
  </w:num>
  <w:num w:numId="34">
    <w:abstractNumId w:val="15"/>
  </w:num>
  <w:num w:numId="35">
    <w:abstractNumId w:val="13"/>
  </w:num>
  <w:num w:numId="36">
    <w:abstractNumId w:val="36"/>
  </w:num>
  <w:num w:numId="37">
    <w:abstractNumId w:val="24"/>
  </w:num>
  <w:num w:numId="38">
    <w:abstractNumId w:val="31"/>
  </w:num>
  <w:num w:numId="39">
    <w:abstractNumId w:val="41"/>
  </w:num>
  <w:num w:numId="40">
    <w:abstractNumId w:val="11"/>
  </w:num>
  <w:num w:numId="41">
    <w:abstractNumId w:val="12"/>
  </w:num>
  <w:num w:numId="42">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2F6ED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4E3"/>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0EB9"/>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D588C"/>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4B9F"/>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360D"/>
    <w:rsid w:val="00696C2A"/>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3730"/>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7B3"/>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0BB8"/>
    <w:rsid w:val="008120E4"/>
    <w:rsid w:val="00813CDA"/>
    <w:rsid w:val="0081452D"/>
    <w:rsid w:val="008176B8"/>
    <w:rsid w:val="00820849"/>
    <w:rsid w:val="008218C2"/>
    <w:rsid w:val="00824626"/>
    <w:rsid w:val="008275F5"/>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09E0"/>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0088"/>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2A12"/>
    <w:rsid w:val="00A63CB9"/>
    <w:rsid w:val="00A647F3"/>
    <w:rsid w:val="00A6558F"/>
    <w:rsid w:val="00A657F4"/>
    <w:rsid w:val="00A6608F"/>
    <w:rsid w:val="00A66275"/>
    <w:rsid w:val="00A702F5"/>
    <w:rsid w:val="00A71E3A"/>
    <w:rsid w:val="00A72C6C"/>
    <w:rsid w:val="00A72D08"/>
    <w:rsid w:val="00A745DF"/>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D6225"/>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0B0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52E4"/>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4B27"/>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14C"/>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239</TotalTime>
  <Pages>1</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7393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Continuation of the work on CHO with SCG configuration</dc:title>
  <dc:subject>3GPP RAN3 #114-e</dc:subject>
  <dc:creator>Benoist Sébire</dc:creator>
  <cp:keywords>&lt;keyword[, keyword, ]&gt;</cp:keywords>
  <dc:description/>
  <cp:lastModifiedBy>Kordybach, Krzysztof (Nokia - PL/Wroclaw)</cp:lastModifiedBy>
  <cp:revision>51</cp:revision>
  <cp:lastPrinted>2019-03-27T07:16:00Z</cp:lastPrinted>
  <dcterms:created xsi:type="dcterms:W3CDTF">2019-10-03T12:07:00Z</dcterms:created>
  <dcterms:modified xsi:type="dcterms:W3CDTF">2021-10-21T10:20:00Z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